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C10" w:rsidRDefault="000F158E" w:rsidP="00CC6C10">
      <w:pPr>
        <w:pStyle w:val="Header"/>
      </w:pPr>
      <w:r>
        <w:t xml:space="preserve">Oxford City Council EAPC 7/4/21 </w:t>
      </w:r>
      <w:r w:rsidR="00CC6C10">
        <w:t>Clarification of recommendations for Items 3 and 4</w:t>
      </w:r>
    </w:p>
    <w:p w:rsidR="00CC6C10" w:rsidRDefault="00CC6C10" w:rsidP="008A22C6">
      <w:pPr>
        <w:rPr>
          <w:b/>
        </w:rPr>
      </w:pPr>
    </w:p>
    <w:p w:rsidR="00427824" w:rsidRPr="009E394A" w:rsidRDefault="009E394A" w:rsidP="008A22C6">
      <w:pPr>
        <w:rPr>
          <w:b/>
        </w:rPr>
      </w:pPr>
      <w:r w:rsidRPr="009E394A">
        <w:rPr>
          <w:b/>
        </w:rPr>
        <w:t xml:space="preserve">Item 3 </w:t>
      </w:r>
      <w:r w:rsidR="00090957">
        <w:rPr>
          <w:b/>
        </w:rPr>
        <w:t>Application number:</w:t>
      </w:r>
      <w:r w:rsidR="000F158E">
        <w:rPr>
          <w:b/>
        </w:rPr>
        <w:t xml:space="preserve"> </w:t>
      </w:r>
      <w:r w:rsidRPr="009E394A">
        <w:rPr>
          <w:b/>
        </w:rPr>
        <w:t>20/00688/LBC</w:t>
      </w:r>
    </w:p>
    <w:p w:rsidR="00427824" w:rsidRPr="00CC6C10" w:rsidRDefault="009E394A" w:rsidP="008A22C6">
      <w:pPr>
        <w:rPr>
          <w:sz w:val="22"/>
          <w:szCs w:val="22"/>
        </w:rPr>
      </w:pPr>
      <w:r w:rsidRPr="00CC6C10">
        <w:rPr>
          <w:sz w:val="22"/>
          <w:szCs w:val="22"/>
        </w:rPr>
        <w:t>Demolition of The Church of the Holy Family in association with erection of replacement Church, 21 residential units, and community facilities. (Additional information).</w:t>
      </w:r>
    </w:p>
    <w:p w:rsidR="00427824" w:rsidRPr="00CC6C10" w:rsidRDefault="00427824" w:rsidP="008A22C6">
      <w:pPr>
        <w:rPr>
          <w:sz w:val="22"/>
          <w:szCs w:val="22"/>
        </w:rPr>
      </w:pPr>
    </w:p>
    <w:p w:rsidR="00427824" w:rsidRPr="00CC6C10" w:rsidRDefault="00427824" w:rsidP="008A22C6">
      <w:pPr>
        <w:rPr>
          <w:b/>
          <w:sz w:val="22"/>
          <w:szCs w:val="22"/>
        </w:rPr>
      </w:pPr>
      <w:r w:rsidRPr="00CC6C10">
        <w:rPr>
          <w:b/>
          <w:sz w:val="22"/>
          <w:szCs w:val="22"/>
        </w:rPr>
        <w:t>Officer’s recommendation</w:t>
      </w:r>
    </w:p>
    <w:p w:rsidR="00427824" w:rsidRPr="00CC6C10" w:rsidRDefault="00427824" w:rsidP="008A22C6">
      <w:pPr>
        <w:rPr>
          <w:sz w:val="22"/>
          <w:szCs w:val="22"/>
        </w:rPr>
      </w:pPr>
    </w:p>
    <w:p w:rsidR="009E394A" w:rsidRPr="00CC6C10" w:rsidRDefault="009E394A" w:rsidP="009E394A">
      <w:pPr>
        <w:rPr>
          <w:sz w:val="22"/>
          <w:szCs w:val="22"/>
        </w:rPr>
      </w:pPr>
      <w:r w:rsidRPr="00CC6C10">
        <w:rPr>
          <w:sz w:val="22"/>
          <w:szCs w:val="22"/>
        </w:rPr>
        <w:t>The East Area Planning Committee is recommended to:</w:t>
      </w:r>
    </w:p>
    <w:p w:rsidR="009E394A" w:rsidRPr="00CC6C10" w:rsidRDefault="009E394A" w:rsidP="009E394A">
      <w:pPr>
        <w:rPr>
          <w:sz w:val="22"/>
          <w:szCs w:val="22"/>
        </w:rPr>
      </w:pPr>
    </w:p>
    <w:p w:rsidR="009E394A" w:rsidRPr="00CC6C10" w:rsidRDefault="009E394A" w:rsidP="009E394A">
      <w:pPr>
        <w:pStyle w:val="ListParagraph"/>
        <w:numPr>
          <w:ilvl w:val="0"/>
          <w:numId w:val="5"/>
        </w:numPr>
        <w:spacing w:after="120"/>
        <w:contextualSpacing w:val="0"/>
        <w:rPr>
          <w:bCs/>
          <w:sz w:val="22"/>
          <w:szCs w:val="22"/>
        </w:rPr>
      </w:pPr>
      <w:r w:rsidRPr="00CC6C10">
        <w:rPr>
          <w:b/>
          <w:bCs/>
          <w:sz w:val="22"/>
          <w:szCs w:val="22"/>
        </w:rPr>
        <w:t>Approve the application</w:t>
      </w:r>
      <w:r w:rsidRPr="00CC6C10">
        <w:rPr>
          <w:bCs/>
          <w:sz w:val="22"/>
          <w:szCs w:val="22"/>
        </w:rPr>
        <w:t xml:space="preserve">, subject to the concurrence of the Secretary of State and subject to the prior completion of an agreement made pursuant to section 106 of the Town and Country Planning Act 1990 and other enabling powers to secure the planning obligations which are referred to in this report and subject also to the required listed building conditions set out in section 12 of this report and </w:t>
      </w:r>
      <w:r w:rsidRPr="00CC6C10">
        <w:rPr>
          <w:b/>
          <w:bCs/>
          <w:sz w:val="22"/>
          <w:szCs w:val="22"/>
        </w:rPr>
        <w:t xml:space="preserve">delegate authority </w:t>
      </w:r>
      <w:r w:rsidRPr="00CC6C10">
        <w:rPr>
          <w:bCs/>
          <w:sz w:val="22"/>
          <w:szCs w:val="22"/>
        </w:rPr>
        <w:t>to the Head of Planning Services to:</w:t>
      </w:r>
    </w:p>
    <w:p w:rsidR="009E394A" w:rsidRPr="00CC6C10" w:rsidRDefault="009E394A" w:rsidP="00CC6C10">
      <w:pPr>
        <w:pStyle w:val="ListParagraph"/>
        <w:numPr>
          <w:ilvl w:val="0"/>
          <w:numId w:val="6"/>
        </w:numPr>
        <w:spacing w:after="120"/>
        <w:ind w:left="360"/>
        <w:contextualSpacing w:val="0"/>
        <w:rPr>
          <w:bCs/>
          <w:sz w:val="22"/>
          <w:szCs w:val="22"/>
        </w:rPr>
      </w:pPr>
      <w:r w:rsidRPr="00CC6C10">
        <w:rPr>
          <w:bCs/>
          <w:sz w:val="22"/>
          <w:szCs w:val="22"/>
        </w:rPr>
        <w:t>refer the application to the Secretary of State and, subject to him not directing refusal of the application :-</w:t>
      </w:r>
    </w:p>
    <w:p w:rsidR="009E394A" w:rsidRPr="00CC6C10" w:rsidRDefault="00090957" w:rsidP="00CC6C10">
      <w:pPr>
        <w:numPr>
          <w:ilvl w:val="0"/>
          <w:numId w:val="2"/>
        </w:numPr>
        <w:spacing w:after="120"/>
        <w:ind w:left="360"/>
        <w:rPr>
          <w:bCs/>
          <w:sz w:val="22"/>
          <w:szCs w:val="22"/>
        </w:rPr>
      </w:pPr>
      <w:r>
        <w:rPr>
          <w:bCs/>
          <w:sz w:val="22"/>
          <w:szCs w:val="22"/>
        </w:rPr>
        <w:t>f</w:t>
      </w:r>
      <w:r w:rsidR="009E394A" w:rsidRPr="00CC6C10">
        <w:rPr>
          <w:bCs/>
          <w:sz w:val="22"/>
          <w:szCs w:val="22"/>
        </w:rPr>
        <w:t xml:space="preserve">inalise the recommended conditions as set out in this report including such refinements, amendments, additions and/or deletions as the Head of Planning Services considers reasonably necessary; </w:t>
      </w:r>
    </w:p>
    <w:p w:rsidR="009E394A" w:rsidRPr="00CC6C10" w:rsidRDefault="009E394A" w:rsidP="00CC6C10">
      <w:pPr>
        <w:numPr>
          <w:ilvl w:val="0"/>
          <w:numId w:val="2"/>
        </w:numPr>
        <w:spacing w:after="120"/>
        <w:ind w:left="360"/>
        <w:rPr>
          <w:bCs/>
          <w:sz w:val="22"/>
          <w:szCs w:val="22"/>
        </w:rPr>
      </w:pPr>
      <w:r w:rsidRPr="00CC6C10">
        <w:rPr>
          <w:bCs/>
          <w:sz w:val="22"/>
          <w:szCs w:val="22"/>
        </w:rPr>
        <w:t>finalise the recommended legal agreement under section 106 of the Town and Country Planning Act 1990 and other enabling powers as set out in this report, including refining, adding to, amending and/or deleting the obligations detailed in the heads of terms set out in this report (including to dovetail with and where appropriate, reinforce the final conditions and informatives to be attached to the listed building consent) as the Head of Planning Services considers reasonably necessary; and</w:t>
      </w:r>
    </w:p>
    <w:p w:rsidR="009E394A" w:rsidRPr="00CC6C10" w:rsidRDefault="009E394A" w:rsidP="00CC6C10">
      <w:pPr>
        <w:numPr>
          <w:ilvl w:val="0"/>
          <w:numId w:val="2"/>
        </w:numPr>
        <w:spacing w:after="120"/>
        <w:ind w:left="360"/>
        <w:rPr>
          <w:bCs/>
          <w:sz w:val="22"/>
          <w:szCs w:val="22"/>
        </w:rPr>
      </w:pPr>
      <w:r w:rsidRPr="00CC6C10">
        <w:rPr>
          <w:bCs/>
          <w:sz w:val="22"/>
          <w:szCs w:val="22"/>
        </w:rPr>
        <w:t xml:space="preserve">complete the section 106 legal agreement referred to above and issue the listed building consent: </w:t>
      </w:r>
      <w:r w:rsidRPr="00CC6C10">
        <w:rPr>
          <w:b/>
          <w:bCs/>
          <w:sz w:val="22"/>
          <w:szCs w:val="22"/>
        </w:rPr>
        <w:t>or</w:t>
      </w:r>
    </w:p>
    <w:p w:rsidR="00CC6C10" w:rsidRDefault="009E394A" w:rsidP="00090957">
      <w:pPr>
        <w:numPr>
          <w:ilvl w:val="0"/>
          <w:numId w:val="2"/>
        </w:numPr>
        <w:ind w:left="360"/>
        <w:rPr>
          <w:bCs/>
          <w:sz w:val="22"/>
          <w:szCs w:val="22"/>
        </w:rPr>
      </w:pPr>
      <w:r w:rsidRPr="00CC6C10">
        <w:rPr>
          <w:b/>
          <w:bCs/>
          <w:sz w:val="22"/>
          <w:szCs w:val="22"/>
        </w:rPr>
        <w:t>delegate authority</w:t>
      </w:r>
      <w:r w:rsidRPr="00CC6C10">
        <w:rPr>
          <w:bCs/>
          <w:sz w:val="22"/>
          <w:szCs w:val="22"/>
        </w:rPr>
        <w:t xml:space="preserve"> to the Head of Planning Services to refuse listed building consent should the Secretary of State recommend that the application be refused for such reasons as the Head of Planning Services considers reasonably necessary.</w:t>
      </w:r>
    </w:p>
    <w:p w:rsidR="006F21A7" w:rsidRPr="000F158E" w:rsidRDefault="006F21A7" w:rsidP="006F21A7">
      <w:pPr>
        <w:ind w:left="360"/>
        <w:rPr>
          <w:bCs/>
          <w:sz w:val="22"/>
          <w:szCs w:val="22"/>
        </w:rPr>
      </w:pPr>
      <w:bookmarkStart w:id="0" w:name="_GoBack"/>
      <w:bookmarkEnd w:id="0"/>
    </w:p>
    <w:p w:rsidR="00427824" w:rsidRPr="00CC6C10" w:rsidRDefault="00427824" w:rsidP="00427824">
      <w:pPr>
        <w:rPr>
          <w:b/>
          <w:sz w:val="22"/>
          <w:szCs w:val="22"/>
        </w:rPr>
      </w:pPr>
      <w:r w:rsidRPr="00CC6C10">
        <w:rPr>
          <w:b/>
          <w:sz w:val="22"/>
          <w:szCs w:val="22"/>
        </w:rPr>
        <w:t xml:space="preserve">Item 4 </w:t>
      </w:r>
      <w:r w:rsidR="00090957">
        <w:rPr>
          <w:b/>
          <w:sz w:val="22"/>
          <w:szCs w:val="22"/>
        </w:rPr>
        <w:t xml:space="preserve">Application number: </w:t>
      </w:r>
      <w:r w:rsidRPr="00CC6C10">
        <w:rPr>
          <w:b/>
          <w:sz w:val="22"/>
          <w:szCs w:val="22"/>
        </w:rPr>
        <w:t>18/03405/FUL</w:t>
      </w:r>
    </w:p>
    <w:p w:rsidR="00427824" w:rsidRPr="00CC6C10" w:rsidRDefault="009E394A" w:rsidP="008A22C6">
      <w:pPr>
        <w:rPr>
          <w:sz w:val="22"/>
          <w:szCs w:val="22"/>
        </w:rPr>
      </w:pPr>
      <w:r w:rsidRPr="00CC6C10">
        <w:rPr>
          <w:sz w:val="22"/>
          <w:szCs w:val="22"/>
        </w:rPr>
        <w:t>Redevelopment of existing Church to provide new Church building, community facilities and 21 residential units (10 x 1 bed and 10 x 2 bed flats, and 1 x 4 bed house). (Revised Plans). (Additional information).</w:t>
      </w:r>
    </w:p>
    <w:p w:rsidR="009E394A" w:rsidRPr="00CC6C10" w:rsidRDefault="009E394A" w:rsidP="008A22C6">
      <w:pPr>
        <w:rPr>
          <w:sz w:val="22"/>
          <w:szCs w:val="22"/>
        </w:rPr>
      </w:pPr>
    </w:p>
    <w:p w:rsidR="009E394A" w:rsidRPr="00CC6C10" w:rsidRDefault="009E394A" w:rsidP="00090957">
      <w:pPr>
        <w:pStyle w:val="HEADINGA"/>
        <w:numPr>
          <w:ilvl w:val="0"/>
          <w:numId w:val="0"/>
        </w:numPr>
        <w:spacing w:after="0"/>
        <w:ind w:left="357" w:hanging="357"/>
        <w:rPr>
          <w:sz w:val="22"/>
          <w:szCs w:val="22"/>
        </w:rPr>
      </w:pPr>
      <w:r w:rsidRPr="00CC6C10">
        <w:rPr>
          <w:sz w:val="22"/>
          <w:szCs w:val="22"/>
        </w:rPr>
        <w:t>Officer’s Recommendation</w:t>
      </w:r>
    </w:p>
    <w:p w:rsidR="00427824" w:rsidRPr="00CC6C10" w:rsidRDefault="009E394A" w:rsidP="00427824">
      <w:pPr>
        <w:pStyle w:val="PARAGRAPHA"/>
        <w:numPr>
          <w:ilvl w:val="0"/>
          <w:numId w:val="0"/>
        </w:numPr>
        <w:jc w:val="left"/>
        <w:rPr>
          <w:sz w:val="22"/>
          <w:szCs w:val="22"/>
        </w:rPr>
      </w:pPr>
      <w:r w:rsidRPr="00CC6C10">
        <w:rPr>
          <w:sz w:val="22"/>
          <w:szCs w:val="22"/>
        </w:rPr>
        <w:t xml:space="preserve">The </w:t>
      </w:r>
      <w:r w:rsidR="00427824" w:rsidRPr="00CC6C10">
        <w:rPr>
          <w:sz w:val="22"/>
          <w:szCs w:val="22"/>
        </w:rPr>
        <w:t>East Area Planning Committee is recommended to:</w:t>
      </w:r>
    </w:p>
    <w:p w:rsidR="00427824" w:rsidRPr="00CC6C10" w:rsidRDefault="00427824" w:rsidP="00090957">
      <w:pPr>
        <w:pStyle w:val="PARAGRAPHB"/>
        <w:numPr>
          <w:ilvl w:val="0"/>
          <w:numId w:val="4"/>
        </w:numPr>
        <w:spacing w:after="120"/>
        <w:ind w:left="357" w:hanging="357"/>
        <w:rPr>
          <w:sz w:val="22"/>
          <w:szCs w:val="22"/>
        </w:rPr>
      </w:pPr>
      <w:r w:rsidRPr="00CC6C10">
        <w:rPr>
          <w:b/>
          <w:sz w:val="22"/>
          <w:szCs w:val="22"/>
        </w:rPr>
        <w:t>Approve the application (18/03405/FUL)</w:t>
      </w:r>
      <w:r w:rsidRPr="00CC6C10">
        <w:rPr>
          <w:sz w:val="22"/>
          <w:szCs w:val="22"/>
        </w:rPr>
        <w:t xml:space="preserve"> subject to the concurrence of the Secretary of State, and subject to the satisfactory receipt of comments from the Local Lead Flood Authority, the satisfactory receipt of a further Health Impact Assessment and subject to the prior completion of an agreement made pursuant to section 106 of the Town and Country Planning Act 1990 and other enabling powers to secure the planning obligations which are referred to in this report and subject also to the required planning conditions set out in section 12 of this report </w:t>
      </w:r>
      <w:r w:rsidRPr="00CC6C10">
        <w:rPr>
          <w:b/>
          <w:sz w:val="22"/>
          <w:szCs w:val="22"/>
        </w:rPr>
        <w:t>and</w:t>
      </w:r>
      <w:r w:rsidRPr="00CC6C10">
        <w:rPr>
          <w:sz w:val="22"/>
          <w:szCs w:val="22"/>
        </w:rPr>
        <w:t xml:space="preserve"> </w:t>
      </w:r>
      <w:r w:rsidRPr="00CC6C10">
        <w:rPr>
          <w:b/>
          <w:sz w:val="22"/>
          <w:szCs w:val="22"/>
        </w:rPr>
        <w:t>delegate authority</w:t>
      </w:r>
      <w:r w:rsidRPr="00CC6C10">
        <w:rPr>
          <w:sz w:val="22"/>
          <w:szCs w:val="22"/>
        </w:rPr>
        <w:t xml:space="preserve"> to the Head of Planning Services to:</w:t>
      </w:r>
    </w:p>
    <w:p w:rsidR="00427824" w:rsidRPr="00CC6C10" w:rsidRDefault="00427824" w:rsidP="00CC6C10">
      <w:pPr>
        <w:pStyle w:val="BULLETS"/>
        <w:spacing w:after="0"/>
        <w:ind w:left="425" w:hanging="357"/>
        <w:rPr>
          <w:sz w:val="22"/>
          <w:szCs w:val="22"/>
        </w:rPr>
      </w:pPr>
      <w:r w:rsidRPr="00CC6C10">
        <w:rPr>
          <w:sz w:val="22"/>
          <w:szCs w:val="22"/>
        </w:rPr>
        <w:t>refer the application to the Secretary of State and, subject to him not directing refusal of the application :-</w:t>
      </w:r>
    </w:p>
    <w:p w:rsidR="00427824" w:rsidRPr="00CC6C10" w:rsidRDefault="00427824" w:rsidP="00CC6C10">
      <w:pPr>
        <w:pStyle w:val="BULLETS"/>
        <w:spacing w:after="0"/>
        <w:ind w:left="425" w:hanging="357"/>
        <w:rPr>
          <w:sz w:val="22"/>
          <w:szCs w:val="22"/>
        </w:rPr>
      </w:pPr>
      <w:r w:rsidRPr="00CC6C10">
        <w:rPr>
          <w:sz w:val="22"/>
          <w:szCs w:val="22"/>
        </w:rPr>
        <w:t>finalise the recommended conditions as set out in this report including such refinements, amendments, additions and/or deletions as the Head of Planning Services considers reasonably necessary; and</w:t>
      </w:r>
    </w:p>
    <w:p w:rsidR="00427824" w:rsidRPr="00CC6C10" w:rsidRDefault="00427824" w:rsidP="00CC6C10">
      <w:pPr>
        <w:pStyle w:val="BULLETS"/>
        <w:spacing w:after="0"/>
        <w:ind w:left="425" w:hanging="357"/>
        <w:rPr>
          <w:sz w:val="22"/>
          <w:szCs w:val="22"/>
        </w:rPr>
      </w:pPr>
      <w:r w:rsidRPr="00CC6C10">
        <w:rPr>
          <w:sz w:val="22"/>
          <w:szCs w:val="22"/>
        </w:rPr>
        <w:t xml:space="preserve">finalise the recommended legal agreement under section 106 of the Town and Country Planning Act 1990 and other enabling powers as set out in this report, including refining, adding to, amending and/or deleting the obligations detailed in the heads of terms set out in this report (including to dovetail with and where appropriate, reinforce the final conditions and informatives to be attached to the planning permission) as the Head of Planning Services considers reasonably necessary; and </w:t>
      </w:r>
    </w:p>
    <w:p w:rsidR="00427824" w:rsidRPr="00CC6C10" w:rsidRDefault="00427824" w:rsidP="00CC6C10">
      <w:pPr>
        <w:pStyle w:val="BULLETS"/>
        <w:spacing w:after="0"/>
        <w:ind w:left="425" w:hanging="357"/>
        <w:rPr>
          <w:sz w:val="22"/>
          <w:szCs w:val="22"/>
        </w:rPr>
      </w:pPr>
      <w:r w:rsidRPr="00CC6C10">
        <w:rPr>
          <w:sz w:val="22"/>
          <w:szCs w:val="22"/>
        </w:rPr>
        <w:t xml:space="preserve">complete the section 106 legal agreement referred to above and issue the planning permission </w:t>
      </w:r>
      <w:r w:rsidRPr="00CC6C10">
        <w:rPr>
          <w:b/>
          <w:sz w:val="22"/>
          <w:szCs w:val="22"/>
        </w:rPr>
        <w:t>or</w:t>
      </w:r>
      <w:r w:rsidRPr="00CC6C10">
        <w:rPr>
          <w:sz w:val="22"/>
          <w:szCs w:val="22"/>
        </w:rPr>
        <w:t xml:space="preserve">, </w:t>
      </w:r>
    </w:p>
    <w:p w:rsidR="00427824" w:rsidRPr="00CC6C10" w:rsidRDefault="00427824" w:rsidP="00090957">
      <w:pPr>
        <w:pStyle w:val="BULLETS"/>
        <w:numPr>
          <w:ilvl w:val="0"/>
          <w:numId w:val="4"/>
        </w:numPr>
        <w:spacing w:before="120"/>
        <w:ind w:left="357" w:hanging="357"/>
        <w:rPr>
          <w:sz w:val="22"/>
          <w:szCs w:val="22"/>
        </w:rPr>
      </w:pPr>
      <w:r w:rsidRPr="00CC6C10">
        <w:rPr>
          <w:b/>
          <w:sz w:val="22"/>
          <w:szCs w:val="22"/>
        </w:rPr>
        <w:t>delegate authority</w:t>
      </w:r>
      <w:r w:rsidRPr="00CC6C10">
        <w:rPr>
          <w:sz w:val="22"/>
          <w:szCs w:val="22"/>
        </w:rPr>
        <w:t xml:space="preserve"> to the Head of Planning Services to refuse planning permission should the Secretary of State recommend that the application be refused for such reasons as the Head of Planning Services considers reasonably necessary.</w:t>
      </w:r>
    </w:p>
    <w:p w:rsidR="00427824" w:rsidRPr="00090957" w:rsidRDefault="00427824" w:rsidP="008A22C6">
      <w:pPr>
        <w:pStyle w:val="BULLETS"/>
        <w:numPr>
          <w:ilvl w:val="0"/>
          <w:numId w:val="4"/>
        </w:numPr>
        <w:rPr>
          <w:sz w:val="22"/>
          <w:szCs w:val="22"/>
        </w:rPr>
      </w:pPr>
      <w:r w:rsidRPr="00CC6C10">
        <w:rPr>
          <w:b/>
          <w:sz w:val="22"/>
          <w:szCs w:val="22"/>
        </w:rPr>
        <w:t>Delegate authority</w:t>
      </w:r>
      <w:r w:rsidRPr="00CC6C10">
        <w:rPr>
          <w:sz w:val="22"/>
          <w:szCs w:val="22"/>
        </w:rPr>
        <w:t xml:space="preserve"> to the Head of Planning Services to decide whether to refer the application back to Committee should the Local Lead Flooding Authority not remove their objection and/or if the satisfactory receipt of a revised Health Impact Assessment hasn’t been received.</w:t>
      </w:r>
    </w:p>
    <w:sectPr w:rsidR="00427824" w:rsidRPr="00090957" w:rsidSect="006F21A7">
      <w:pgSz w:w="16838" w:h="11906" w:orient="landscape"/>
      <w:pgMar w:top="567" w:right="820" w:bottom="709" w:left="709" w:header="709" w:footer="709"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94A" w:rsidRDefault="009E394A" w:rsidP="009E394A">
      <w:r>
        <w:separator/>
      </w:r>
    </w:p>
  </w:endnote>
  <w:endnote w:type="continuationSeparator" w:id="0">
    <w:p w:rsidR="009E394A" w:rsidRDefault="009E394A" w:rsidP="009E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94A" w:rsidRDefault="009E394A" w:rsidP="009E394A">
      <w:r>
        <w:separator/>
      </w:r>
    </w:p>
  </w:footnote>
  <w:footnote w:type="continuationSeparator" w:id="0">
    <w:p w:rsidR="009E394A" w:rsidRDefault="009E394A" w:rsidP="009E3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0464"/>
    <w:multiLevelType w:val="hybridMultilevel"/>
    <w:tmpl w:val="2CC878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BE6A51"/>
    <w:multiLevelType w:val="hybridMultilevel"/>
    <w:tmpl w:val="C2CC8F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4C0C1F3E"/>
    <w:multiLevelType w:val="hybridMultilevel"/>
    <w:tmpl w:val="89DA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F5C81"/>
    <w:multiLevelType w:val="hybridMultilevel"/>
    <w:tmpl w:val="79C26A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668C513E"/>
    <w:multiLevelType w:val="hybridMultilevel"/>
    <w:tmpl w:val="69601D10"/>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24"/>
    <w:rsid w:val="00090957"/>
    <w:rsid w:val="000B4310"/>
    <w:rsid w:val="000F158E"/>
    <w:rsid w:val="00392DC6"/>
    <w:rsid w:val="004000D7"/>
    <w:rsid w:val="00427824"/>
    <w:rsid w:val="00504E43"/>
    <w:rsid w:val="005F17FD"/>
    <w:rsid w:val="006F21A7"/>
    <w:rsid w:val="007908F4"/>
    <w:rsid w:val="008A22C6"/>
    <w:rsid w:val="009E394A"/>
    <w:rsid w:val="00C07F80"/>
    <w:rsid w:val="00CC6C1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0E3B0-0A40-457B-857C-2A2DB91C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link w:val="HEADINGAChar"/>
    <w:qFormat/>
    <w:rsid w:val="00427824"/>
    <w:pPr>
      <w:numPr>
        <w:numId w:val="1"/>
      </w:numPr>
      <w:autoSpaceDE w:val="0"/>
      <w:autoSpaceDN w:val="0"/>
      <w:spacing w:after="240"/>
    </w:pPr>
    <w:rPr>
      <w:rFonts w:eastAsia="Times New Roman"/>
      <w:b/>
    </w:rPr>
  </w:style>
  <w:style w:type="paragraph" w:customStyle="1" w:styleId="PARAGRAPHA">
    <w:name w:val="PARAGRAPH A"/>
    <w:basedOn w:val="Normal"/>
    <w:link w:val="PARAGRAPHAChar"/>
    <w:qFormat/>
    <w:rsid w:val="00427824"/>
    <w:pPr>
      <w:numPr>
        <w:ilvl w:val="1"/>
        <w:numId w:val="1"/>
      </w:numPr>
      <w:autoSpaceDE w:val="0"/>
      <w:autoSpaceDN w:val="0"/>
      <w:spacing w:after="240"/>
      <w:jc w:val="both"/>
    </w:pPr>
    <w:rPr>
      <w:rFonts w:eastAsia="Times New Roman"/>
    </w:rPr>
  </w:style>
  <w:style w:type="character" w:customStyle="1" w:styleId="HEADINGAChar">
    <w:name w:val="HEADING A Char"/>
    <w:basedOn w:val="DefaultParagraphFont"/>
    <w:link w:val="HEADINGA"/>
    <w:locked/>
    <w:rsid w:val="00427824"/>
    <w:rPr>
      <w:rFonts w:eastAsia="Times New Roman"/>
      <w:b/>
    </w:rPr>
  </w:style>
  <w:style w:type="paragraph" w:customStyle="1" w:styleId="BULLETS">
    <w:name w:val="BULLETS"/>
    <w:basedOn w:val="Normal"/>
    <w:link w:val="BULLETSChar"/>
    <w:qFormat/>
    <w:rsid w:val="00427824"/>
    <w:pPr>
      <w:widowControl w:val="0"/>
      <w:numPr>
        <w:numId w:val="2"/>
      </w:numPr>
      <w:autoSpaceDE w:val="0"/>
      <w:autoSpaceDN w:val="0"/>
      <w:spacing w:after="120"/>
      <w:jc w:val="both"/>
    </w:pPr>
    <w:rPr>
      <w:rFonts w:eastAsia="Times New Roman"/>
      <w:bCs/>
    </w:rPr>
  </w:style>
  <w:style w:type="character" w:customStyle="1" w:styleId="PARAGRAPHAChar">
    <w:name w:val="PARAGRAPH A Char"/>
    <w:basedOn w:val="DefaultParagraphFont"/>
    <w:link w:val="PARAGRAPHA"/>
    <w:locked/>
    <w:rsid w:val="00427824"/>
    <w:rPr>
      <w:rFonts w:eastAsia="Times New Roman"/>
    </w:rPr>
  </w:style>
  <w:style w:type="paragraph" w:customStyle="1" w:styleId="PARAGRAPHB">
    <w:name w:val="PARAGRAPH B"/>
    <w:basedOn w:val="Normal"/>
    <w:link w:val="PARAGRAPHBChar"/>
    <w:qFormat/>
    <w:rsid w:val="00427824"/>
    <w:pPr>
      <w:widowControl w:val="0"/>
      <w:numPr>
        <w:ilvl w:val="2"/>
        <w:numId w:val="1"/>
      </w:numPr>
      <w:autoSpaceDE w:val="0"/>
      <w:autoSpaceDN w:val="0"/>
      <w:spacing w:after="240"/>
      <w:jc w:val="both"/>
    </w:pPr>
    <w:rPr>
      <w:rFonts w:eastAsia="Times New Roman"/>
      <w:bCs/>
    </w:rPr>
  </w:style>
  <w:style w:type="character" w:customStyle="1" w:styleId="BULLETSChar">
    <w:name w:val="BULLETS Char"/>
    <w:basedOn w:val="DefaultParagraphFont"/>
    <w:link w:val="BULLETS"/>
    <w:locked/>
    <w:rsid w:val="00427824"/>
    <w:rPr>
      <w:rFonts w:eastAsia="Times New Roman"/>
      <w:bCs/>
    </w:rPr>
  </w:style>
  <w:style w:type="character" w:customStyle="1" w:styleId="PARAGRAPHBChar">
    <w:name w:val="PARAGRAPH B Char"/>
    <w:basedOn w:val="DefaultParagraphFont"/>
    <w:link w:val="PARAGRAPHB"/>
    <w:locked/>
    <w:rsid w:val="00427824"/>
    <w:rPr>
      <w:rFonts w:eastAsia="Times New Roman"/>
      <w:bCs/>
    </w:rPr>
  </w:style>
  <w:style w:type="paragraph" w:styleId="ListParagraph">
    <w:name w:val="List Paragraph"/>
    <w:basedOn w:val="Normal"/>
    <w:uiPriority w:val="34"/>
    <w:qFormat/>
    <w:rsid w:val="009E394A"/>
    <w:pPr>
      <w:ind w:left="720"/>
      <w:contextualSpacing/>
    </w:pPr>
  </w:style>
  <w:style w:type="paragraph" w:styleId="Header">
    <w:name w:val="header"/>
    <w:basedOn w:val="Normal"/>
    <w:link w:val="HeaderChar"/>
    <w:uiPriority w:val="99"/>
    <w:unhideWhenUsed/>
    <w:rsid w:val="009E394A"/>
    <w:pPr>
      <w:tabs>
        <w:tab w:val="center" w:pos="4513"/>
        <w:tab w:val="right" w:pos="9026"/>
      </w:tabs>
    </w:pPr>
  </w:style>
  <w:style w:type="character" w:customStyle="1" w:styleId="HeaderChar">
    <w:name w:val="Header Char"/>
    <w:basedOn w:val="DefaultParagraphFont"/>
    <w:link w:val="Header"/>
    <w:uiPriority w:val="99"/>
    <w:rsid w:val="009E394A"/>
  </w:style>
  <w:style w:type="paragraph" w:styleId="Footer">
    <w:name w:val="footer"/>
    <w:basedOn w:val="Normal"/>
    <w:link w:val="FooterChar"/>
    <w:uiPriority w:val="99"/>
    <w:unhideWhenUsed/>
    <w:rsid w:val="009E394A"/>
    <w:pPr>
      <w:tabs>
        <w:tab w:val="center" w:pos="4513"/>
        <w:tab w:val="right" w:pos="9026"/>
      </w:tabs>
    </w:pPr>
  </w:style>
  <w:style w:type="character" w:customStyle="1" w:styleId="FooterChar">
    <w:name w:val="Footer Char"/>
    <w:basedOn w:val="DefaultParagraphFont"/>
    <w:link w:val="Footer"/>
    <w:uiPriority w:val="99"/>
    <w:rsid w:val="009E3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7479-1717-4421-9EAA-466B0C20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8DB64354.dotm</Template>
  <TotalTime>16</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Jennifer</dc:creator>
  <cp:keywords/>
  <dc:description/>
  <cp:lastModifiedBy>THOMPSON Jennifer</cp:lastModifiedBy>
  <cp:revision>5</cp:revision>
  <dcterms:created xsi:type="dcterms:W3CDTF">2021-04-01T11:04:00Z</dcterms:created>
  <dcterms:modified xsi:type="dcterms:W3CDTF">2021-04-01T11:47:00Z</dcterms:modified>
</cp:coreProperties>
</file>